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20" w:after="20" w:line="276"/>
            </w:pPr>
            <w:r>
              <w:rPr>
                <w:rFonts w:ascii="Aptos" w:hAnsi="Aptos"/>
                <w:sz w:val="16"/>
                <w:szCs w:val="16"/>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 Pressure vessel failure. Noise from compressor and blasting. Hose connection failure. 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numPr>
                <w:ilvl w:val="0"/>
                <w:numId w:val="44"/>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numPr>
                <w:ilvl w:val="0"/>
                <w:numId w:val="44"/>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numPr>
                <w:ilvl w:val="0"/>
                <w:numId w:val="44"/>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Hearing protection (&gt;85 dB, Class 5) near compressor. Steel capped footwear. Eye protection during setup.</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20" w:after="20" w:line="276"/>
            </w:pPr>
            <w:r>
              <w:rPr>
                <w:rFonts w:ascii="Aptos" w:hAnsi="Aptos"/>
                <w:sz w:val="16"/>
                <w:szCs w:val="16"/>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 Noise &gt;115 dB(A). Ricochet </w:t>
            </w:r>
            <w:r>
              <w:rPr>
                <w:rFonts w:ascii="Aptos" w:hAnsi="Aptos"/>
                <w:sz w:val="16"/>
                <w:szCs w:val="16"/>
                <w:b/>
              </w:rPr>
              <w:t xml:space="preserve">—</w:t>
            </w:r>
            <w:r>
              <w:rPr>
                <w:rFonts w:ascii="Aptos" w:hAnsi="Aptos"/>
                <w:sz w:val="16"/>
                <w:szCs w:val="16"/>
              </w:rPr>
              <w:t xml:space="preserve"> High-velocity particles. Skin abrasion from blast media. Dust affecting adjacent properties and persons.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6"/>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numPr>
                <w:ilvl w:val="0"/>
                <w:numId w:val="46"/>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numPr>
                <w:ilvl w:val="0"/>
                <w:numId w:val="46"/>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numPr>
                <w:ilvl w:val="0"/>
                <w:numId w:val="46"/>
              </w:numPr>
            </w:pPr>
            <w:r>
              <w:rPr>
                <w:rFonts w:ascii="Aptos" w:hAnsi="Aptos"/>
                <w:sz w:val="16"/>
                <w:szCs w:val="16"/>
              </w:rPr>
              <w:t xml:space="preserve">All workers within 15m of blasting operations wearing appropriate respiratory protection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20" w:after="20" w:line="276"/>
            </w:pPr>
            <w:r>
              <w:rPr>
                <w:rFonts w:ascii="Aptos" w:hAnsi="Aptos"/>
                <w:sz w:val="16"/>
                <w:szCs w:val="16"/>
              </w:rPr>
              <w:t xml:space="preserve">Abrasive blasting inside containment enclosures, blast rooms, tanks, or confined structures. Includes ventilation, visibility, and confined space management.</w:t>
            </w:r>
          </w:p>
        </w:tc>
        <w:tc>
          <w:tcPr>
            <w:tcW w:w="2458" w:type="dxa"/>
          </w:tcPr>
          <w:p>
            <w:pPr>
              <w:spacing w:before="20" w:after="20" w:line="276"/>
            </w:pPr>
            <w:r>
              <w:rPr>
                <w:rFonts w:ascii="Aptos" w:hAnsi="Aptos"/>
                <w:sz w:val="16"/>
                <w:szCs w:val="16"/>
              </w:rPr>
              <w:t xml:space="preserve">Extreme dust concentration in enclosed space. Reduced visibility </w:t>
            </w:r>
            <w:r>
              <w:rPr>
                <w:rFonts w:ascii="Aptos" w:hAnsi="Aptos"/>
                <w:sz w:val="16"/>
                <w:szCs w:val="16"/>
                <w:b/>
              </w:rPr>
              <w:t xml:space="preserve">—</w:t>
            </w:r>
            <w:r>
              <w:rPr>
                <w:rFonts w:ascii="Aptos" w:hAnsi="Aptos"/>
                <w:sz w:val="16"/>
                <w:szCs w:val="16"/>
              </w:rPr>
              <w:t xml:space="preserve"> Zero visibility common. Noise amplification in enclosure. Oxygen depletion. Confined space hazards. Heat stress inside blast suit.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numPr>
                <w:ilvl w:val="0"/>
                <w:numId w:val="48"/>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numPr>
                <w:ilvl w:val="0"/>
                <w:numId w:val="48"/>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numPr>
                <w:ilvl w:val="0"/>
                <w:numId w:val="48"/>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numPr>
                <w:ilvl w:val="0"/>
                <w:numId w:val="48"/>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Blast Media Selection and Handling</w:t>
            </w:r>
          </w:p>
          <w:p>
            <w:pPr>
              <w:spacing w:before="20" w:after="20" w:line="276"/>
            </w:pPr>
            <w:r>
              <w:rPr>
                <w:rFonts w:ascii="Aptos" w:hAnsi="Aptos"/>
                <w:sz w:val="16"/>
                <w:szCs w:val="16"/>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pPr>
            <w:r>
              <w:rPr>
                <w:rFonts w:ascii="Aptos" w:hAnsi="Aptos"/>
                <w:sz w:val="16"/>
                <w:szCs w:val="16"/>
              </w:rPr>
              <w:t xml:space="preserve">Manual handling of heavy media bags (25–50kg). Dust during loading and handling. Contaminated recycled media. Slip hazard from spilled media. Eye injury from loose particles.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Mechanical lifting for bags &gt;25kg. Dust extraction at blast pot loading point. Media storage on pallets, covered, and dry.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Recycled media tested for contamination before re-use (lead, asbestos, other hazardous coatings).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during loading and handling. Eye protection. Cut-resistant gloves. Steel capped footwear.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Containment and Environmental Controls</w:t>
            </w:r>
          </w:p>
          <w:p>
            <w:pPr>
              <w:spacing w:before="20" w:after="20" w:line="276"/>
            </w:pPr>
            <w:r>
              <w:rPr>
                <w:rFonts w:ascii="Aptos" w:hAnsi="Aptos"/>
                <w:sz w:val="16"/>
                <w:szCs w:val="16"/>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 Working at height during containment erection. Wind damage to containment. Stormwater contamination from blast waste. Community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ENV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Dust Suppression and Air Monitoring</w:t>
            </w:r>
          </w:p>
          <w:p>
            <w:pPr>
              <w:spacing w:before="20" w:after="20" w:line="276"/>
            </w:pPr>
            <w:r>
              <w:rPr>
                <w:rFonts w:ascii="Aptos" w:hAnsi="Aptos"/>
                <w:sz w:val="16"/>
                <w:szCs w:val="16"/>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pPr>
            <w:r>
              <w:rPr>
                <w:rFonts w:ascii="Aptos" w:hAnsi="Aptos"/>
                <w:sz w:val="16"/>
                <w:szCs w:val="16"/>
              </w:rPr>
              <w:t xml:space="preserve">Respirable dust exposure exceeding workplace exposure standard (WES). Lead or asbestos fibre release from existing coatings. Crystalline silica exposure. Environmental dust impact beyond site boundary.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SIL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numPr>
                <w:ilvl w:val="0"/>
                <w:numId w:val="50"/>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numPr>
                <w:ilvl w:val="0"/>
                <w:numId w:val="50"/>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numPr>
                <w:ilvl w:val="0"/>
                <w:numId w:val="50"/>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Occupational Hygienist</w:t>
            </w:r>
          </w:p>
        </w:tc>
        <w:tc>
          <w:tcPr>
            <w:tcW w:w="908" w:type="dxa"/>
          </w:tcPr>
          <w:p>
            <w:pPr>
              <w:spacing w:before="20" w:after="20" w:line="276"/>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Lead Paint and Hazardous Coating Removal by Blasting</w:t>
            </w:r>
          </w:p>
          <w:p>
            <w:pPr>
              <w:spacing w:before="20" w:after="20" w:line="276"/>
            </w:pPr>
            <w:r>
              <w:rPr>
                <w:rFonts w:ascii="Aptos" w:hAnsi="Aptos"/>
                <w:sz w:val="16"/>
                <w:szCs w:val="16"/>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 Lead contamination of site and surrounds. Asbestos co-contamination in old coatings. Hazardous waste generation. Worker take-home contamination.</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numPr>
                <w:ilvl w:val="0"/>
                <w:numId w:val="52"/>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numPr>
                <w:ilvl w:val="0"/>
                <w:numId w:val="52"/>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numPr>
                <w:ilvl w:val="0"/>
                <w:numId w:val="52"/>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Blaster / Occupational Hygienist</w:t>
            </w:r>
          </w:p>
        </w:tc>
        <w:tc>
          <w:tcPr>
            <w:tcW w:w="908" w:type="dxa"/>
          </w:tcPr>
          <w:p>
            <w:pPr>
              <w:spacing w:before="20" w:after="20" w:line="276"/>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20" w:after="20" w:line="276"/>
            </w:pPr>
            <w:r>
              <w:rPr>
                <w:rFonts w:ascii="Aptos" w:hAnsi="Aptos"/>
                <w:sz w:val="16"/>
                <w:szCs w:val="16"/>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pPr>
            <w:r>
              <w:rPr>
                <w:rFonts w:ascii="Aptos" w:hAnsi="Aptos"/>
                <w:sz w:val="16"/>
                <w:szCs w:val="16"/>
              </w:rPr>
              <w:t xml:space="preserve">Noise-induced hearing loss from prolonged exposure &gt;85 dB(A). Tinnitus. Communication difficulty in high-noise environment. Community noise complaint.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